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7E54E" w14:textId="77777777" w:rsidR="00415D13" w:rsidRDefault="00415D13" w:rsidP="00F5406D">
      <w:pPr>
        <w:spacing w:before="100" w:beforeAutospacing="1" w:after="100" w:afterAutospacing="1"/>
        <w:outlineLvl w:val="1"/>
        <w:rPr>
          <w:rFonts w:asciiTheme="majorHAnsi" w:eastAsia="Times New Roman" w:hAnsiTheme="majorHAnsi" w:cs="Times New Roman"/>
          <w:b/>
          <w:bCs/>
          <w:sz w:val="22"/>
          <w:szCs w:val="22"/>
        </w:rPr>
      </w:pPr>
    </w:p>
    <w:p w14:paraId="3A12876C" w14:textId="413A5066" w:rsidR="00F5406D" w:rsidRPr="00F5406D" w:rsidRDefault="00F5406D" w:rsidP="00F5406D">
      <w:pPr>
        <w:spacing w:before="100" w:beforeAutospacing="1" w:after="100" w:afterAutospacing="1"/>
        <w:outlineLvl w:val="1"/>
        <w:rPr>
          <w:rFonts w:asciiTheme="majorHAnsi" w:eastAsia="Times New Roman" w:hAnsiTheme="majorHAnsi" w:cs="Times New Roman"/>
          <w:b/>
          <w:bCs/>
          <w:sz w:val="22"/>
          <w:szCs w:val="22"/>
        </w:rPr>
      </w:pPr>
      <w:r w:rsidRPr="00F5406D">
        <w:rPr>
          <w:rFonts w:asciiTheme="majorHAnsi" w:eastAsia="Times New Roman" w:hAnsiTheme="majorHAnsi" w:cs="Times New Roman"/>
          <w:b/>
          <w:bCs/>
          <w:sz w:val="22"/>
          <w:szCs w:val="22"/>
        </w:rPr>
        <w:t>Investmentmöglichkeiten</w:t>
      </w:r>
      <w:r w:rsidR="00D30D29">
        <w:rPr>
          <w:rFonts w:asciiTheme="majorHAnsi" w:eastAsia="Times New Roman" w:hAnsiTheme="majorHAnsi" w:cs="Times New Roman"/>
          <w:b/>
          <w:bCs/>
          <w:sz w:val="22"/>
          <w:szCs w:val="22"/>
        </w:rPr>
        <w:t>,</w:t>
      </w:r>
      <w:r w:rsidRPr="00F5406D">
        <w:rPr>
          <w:rFonts w:asciiTheme="majorHAnsi" w:eastAsia="Times New Roman" w:hAnsiTheme="majorHAnsi" w:cs="Times New Roman"/>
          <w:b/>
          <w:bCs/>
          <w:sz w:val="22"/>
          <w:szCs w:val="22"/>
        </w:rPr>
        <w:t xml:space="preserve"> die aufsichtsrechtliche </w:t>
      </w:r>
      <w:r w:rsidR="00ED212F">
        <w:rPr>
          <w:rFonts w:asciiTheme="majorHAnsi" w:eastAsia="Times New Roman" w:hAnsiTheme="majorHAnsi" w:cs="Times New Roman"/>
          <w:b/>
          <w:bCs/>
          <w:sz w:val="22"/>
          <w:szCs w:val="22"/>
        </w:rPr>
        <w:t>Anf</w:t>
      </w:r>
      <w:r w:rsidRPr="00F5406D">
        <w:rPr>
          <w:rFonts w:asciiTheme="majorHAnsi" w:eastAsia="Times New Roman" w:hAnsiTheme="majorHAnsi" w:cs="Times New Roman"/>
          <w:b/>
          <w:bCs/>
          <w:sz w:val="22"/>
          <w:szCs w:val="22"/>
        </w:rPr>
        <w:t>orderungen erfüllen</w:t>
      </w:r>
    </w:p>
    <w:p w14:paraId="73E218A4" w14:textId="16FE5956" w:rsidR="00F5406D" w:rsidRDefault="00F5406D" w:rsidP="00F5406D">
      <w:pPr>
        <w:widowControl w:val="0"/>
        <w:rPr>
          <w:rFonts w:asciiTheme="majorHAnsi" w:hAnsiTheme="majorHAnsi" w:cs="Times New Roman"/>
          <w:sz w:val="22"/>
          <w:szCs w:val="22"/>
        </w:rPr>
      </w:pPr>
      <w:r w:rsidRPr="00F5406D">
        <w:rPr>
          <w:rFonts w:asciiTheme="majorHAnsi" w:hAnsiTheme="majorHAnsi" w:cs="Times New Roman"/>
          <w:sz w:val="22"/>
          <w:szCs w:val="22"/>
        </w:rPr>
        <w:t xml:space="preserve">Aufgrund der lang anhaltenden Niedrigzinsphase suchen Investoren  nach wie vor intensiv nach alternativen Investmentmöglichkeiten. Neben der Auswahl geeigneter Assets bzw. Fonds - und </w:t>
      </w:r>
      <w:proofErr w:type="spellStart"/>
      <w:r w:rsidRPr="00F5406D">
        <w:rPr>
          <w:rFonts w:asciiTheme="majorHAnsi" w:hAnsiTheme="majorHAnsi" w:cs="Times New Roman"/>
          <w:sz w:val="22"/>
          <w:szCs w:val="22"/>
        </w:rPr>
        <w:t>Assetmanager</w:t>
      </w:r>
      <w:proofErr w:type="spellEnd"/>
      <w:r w:rsidRPr="00F5406D">
        <w:rPr>
          <w:rFonts w:asciiTheme="majorHAnsi" w:hAnsiTheme="majorHAnsi" w:cs="Times New Roman"/>
          <w:sz w:val="22"/>
          <w:szCs w:val="22"/>
        </w:rPr>
        <w:t>, wird die aufsichtsrechtliche Zuordnung von Objekten und Strukturen immer wichtiger. So sind die verfügbaren Anlagequoten (z.B. die Immobilienquote) häufig bereits vollständig au</w:t>
      </w:r>
      <w:r w:rsidR="00F840D0">
        <w:rPr>
          <w:rFonts w:asciiTheme="majorHAnsi" w:hAnsiTheme="majorHAnsi" w:cs="Times New Roman"/>
          <w:sz w:val="22"/>
          <w:szCs w:val="22"/>
        </w:rPr>
        <w:t>sgeschöpft</w:t>
      </w:r>
      <w:r w:rsidRPr="00F5406D">
        <w:rPr>
          <w:rFonts w:asciiTheme="majorHAnsi" w:hAnsiTheme="majorHAnsi" w:cs="Times New Roman"/>
          <w:sz w:val="22"/>
          <w:szCs w:val="22"/>
        </w:rPr>
        <w:t xml:space="preserve"> oder die strategische </w:t>
      </w:r>
      <w:proofErr w:type="spellStart"/>
      <w:r w:rsidRPr="00F5406D">
        <w:rPr>
          <w:rFonts w:asciiTheme="majorHAnsi" w:hAnsiTheme="majorHAnsi" w:cs="Times New Roman"/>
          <w:sz w:val="22"/>
          <w:szCs w:val="22"/>
        </w:rPr>
        <w:t>Assetallokation</w:t>
      </w:r>
      <w:proofErr w:type="spellEnd"/>
      <w:r w:rsidRPr="00F5406D">
        <w:rPr>
          <w:rFonts w:asciiTheme="majorHAnsi" w:hAnsiTheme="majorHAnsi" w:cs="Times New Roman"/>
          <w:sz w:val="22"/>
          <w:szCs w:val="22"/>
        </w:rPr>
        <w:t xml:space="preserve"> lässt eine höhere Quote nicht zu.</w:t>
      </w:r>
      <w:r w:rsidR="0054148F">
        <w:rPr>
          <w:rFonts w:asciiTheme="majorHAnsi" w:hAnsiTheme="majorHAnsi" w:cs="Times New Roman"/>
          <w:sz w:val="22"/>
          <w:szCs w:val="22"/>
        </w:rPr>
        <w:t xml:space="preserve"> Mit dem Ende letzten Jahres veröffentlichten Kapitalanlagerundschreiben zur neuen </w:t>
      </w:r>
      <w:proofErr w:type="spellStart"/>
      <w:r w:rsidR="0054148F">
        <w:rPr>
          <w:rFonts w:asciiTheme="majorHAnsi" w:hAnsiTheme="majorHAnsi" w:cs="Times New Roman"/>
          <w:sz w:val="22"/>
          <w:szCs w:val="22"/>
        </w:rPr>
        <w:t>Anlageverordung</w:t>
      </w:r>
      <w:proofErr w:type="spellEnd"/>
      <w:r w:rsidR="00180934">
        <w:rPr>
          <w:rFonts w:asciiTheme="majorHAnsi" w:hAnsiTheme="majorHAnsi" w:cs="Times New Roman"/>
          <w:sz w:val="22"/>
          <w:szCs w:val="22"/>
        </w:rPr>
        <w:t>,</w:t>
      </w:r>
      <w:r w:rsidR="0054148F">
        <w:rPr>
          <w:rFonts w:asciiTheme="majorHAnsi" w:hAnsiTheme="majorHAnsi" w:cs="Times New Roman"/>
          <w:sz w:val="22"/>
          <w:szCs w:val="22"/>
        </w:rPr>
        <w:t xml:space="preserve"> sind nunmehr neue Aspekte im Rahmen der Erwerbbarkeit von Kapitalanlagen zu beachten.</w:t>
      </w:r>
      <w:r w:rsidRPr="00F5406D">
        <w:rPr>
          <w:rFonts w:asciiTheme="majorHAnsi" w:hAnsiTheme="majorHAnsi" w:cs="Times New Roman"/>
          <w:sz w:val="22"/>
          <w:szCs w:val="22"/>
        </w:rPr>
        <w:t xml:space="preserve"> Für Versicherungen gewinnt seit der Einführung von </w:t>
      </w:r>
      <w:proofErr w:type="spellStart"/>
      <w:r w:rsidRPr="00F5406D">
        <w:rPr>
          <w:rFonts w:asciiTheme="majorHAnsi" w:hAnsiTheme="majorHAnsi" w:cs="Times New Roman"/>
          <w:sz w:val="22"/>
          <w:szCs w:val="22"/>
        </w:rPr>
        <w:t>Solvency</w:t>
      </w:r>
      <w:proofErr w:type="spellEnd"/>
      <w:r w:rsidRPr="00F5406D">
        <w:rPr>
          <w:rFonts w:asciiTheme="majorHAnsi" w:hAnsiTheme="majorHAnsi" w:cs="Times New Roman"/>
          <w:sz w:val="22"/>
          <w:szCs w:val="22"/>
        </w:rPr>
        <w:t xml:space="preserve"> II </w:t>
      </w:r>
      <w:r w:rsidR="0054148F">
        <w:rPr>
          <w:rFonts w:asciiTheme="majorHAnsi" w:hAnsiTheme="majorHAnsi" w:cs="Times New Roman"/>
          <w:sz w:val="22"/>
          <w:szCs w:val="22"/>
        </w:rPr>
        <w:t xml:space="preserve">ohnehin </w:t>
      </w:r>
      <w:r w:rsidRPr="00F5406D">
        <w:rPr>
          <w:rFonts w:asciiTheme="majorHAnsi" w:hAnsiTheme="majorHAnsi" w:cs="Times New Roman"/>
          <w:sz w:val="22"/>
          <w:szCs w:val="22"/>
        </w:rPr>
        <w:t xml:space="preserve">die SCR-Quote </w:t>
      </w:r>
      <w:r w:rsidR="0054148F">
        <w:rPr>
          <w:rFonts w:asciiTheme="majorHAnsi" w:hAnsiTheme="majorHAnsi" w:cs="Times New Roman"/>
          <w:sz w:val="22"/>
          <w:szCs w:val="22"/>
        </w:rPr>
        <w:t xml:space="preserve">mehr </w:t>
      </w:r>
      <w:r w:rsidRPr="00F5406D">
        <w:rPr>
          <w:rFonts w:asciiTheme="majorHAnsi" w:hAnsiTheme="majorHAnsi" w:cs="Times New Roman"/>
          <w:sz w:val="22"/>
          <w:szCs w:val="22"/>
        </w:rPr>
        <w:t xml:space="preserve">an Bedeutung. Damit gibt es immer mehr Kriterien, die der institutionelle Kapitalanleger bei einer </w:t>
      </w:r>
      <w:r w:rsidR="0054148F">
        <w:rPr>
          <w:rFonts w:asciiTheme="majorHAnsi" w:hAnsiTheme="majorHAnsi" w:cs="Times New Roman"/>
          <w:sz w:val="22"/>
          <w:szCs w:val="22"/>
        </w:rPr>
        <w:t>Investitionse</w:t>
      </w:r>
      <w:r w:rsidRPr="00F5406D">
        <w:rPr>
          <w:rFonts w:asciiTheme="majorHAnsi" w:hAnsiTheme="majorHAnsi" w:cs="Times New Roman"/>
          <w:sz w:val="22"/>
          <w:szCs w:val="22"/>
        </w:rPr>
        <w:t>ntscheidung berücksichtigen muss.</w:t>
      </w:r>
    </w:p>
    <w:p w14:paraId="70B8165A" w14:textId="77777777" w:rsidR="00E60C60" w:rsidRDefault="00E60C60" w:rsidP="00F5406D">
      <w:pPr>
        <w:widowControl w:val="0"/>
        <w:rPr>
          <w:rFonts w:asciiTheme="majorHAnsi" w:hAnsiTheme="majorHAnsi" w:cs="Times New Roman"/>
          <w:sz w:val="22"/>
          <w:szCs w:val="22"/>
        </w:rPr>
      </w:pPr>
    </w:p>
    <w:p w14:paraId="613E5D4D" w14:textId="10239C92" w:rsidR="00E60C60" w:rsidRDefault="00177A1C" w:rsidP="00F5406D">
      <w:pPr>
        <w:widowControl w:val="0"/>
        <w:rPr>
          <w:rFonts w:asciiTheme="majorHAnsi" w:hAnsiTheme="majorHAnsi" w:cs="Times New Roman"/>
          <w:sz w:val="22"/>
          <w:szCs w:val="22"/>
        </w:rPr>
      </w:pPr>
      <w:r>
        <w:rPr>
          <w:rFonts w:asciiTheme="majorHAnsi" w:hAnsiTheme="majorHAnsi" w:cs="Times New Roman"/>
          <w:sz w:val="22"/>
          <w:szCs w:val="22"/>
        </w:rPr>
        <w:t xml:space="preserve">Neben neuen Anforderungen an den Investmentprozess enthält das </w:t>
      </w:r>
      <w:r w:rsidR="00ED212F">
        <w:rPr>
          <w:rFonts w:asciiTheme="majorHAnsi" w:hAnsiTheme="majorHAnsi" w:cs="Times New Roman"/>
          <w:sz w:val="22"/>
          <w:szCs w:val="22"/>
        </w:rPr>
        <w:t xml:space="preserve">neue </w:t>
      </w:r>
      <w:r w:rsidR="00FA22A7">
        <w:rPr>
          <w:rFonts w:asciiTheme="majorHAnsi" w:hAnsiTheme="majorHAnsi" w:cs="Times New Roman"/>
          <w:sz w:val="22"/>
          <w:szCs w:val="22"/>
        </w:rPr>
        <w:t>Kapitalanlage</w:t>
      </w:r>
      <w:r w:rsidR="00122C76">
        <w:rPr>
          <w:rFonts w:asciiTheme="majorHAnsi" w:hAnsiTheme="majorHAnsi" w:cs="Times New Roman"/>
          <w:sz w:val="22"/>
          <w:szCs w:val="22"/>
        </w:rPr>
        <w:t>-</w:t>
      </w:r>
      <w:proofErr w:type="spellStart"/>
      <w:r w:rsidR="00FA22A7">
        <w:rPr>
          <w:rFonts w:asciiTheme="majorHAnsi" w:hAnsiTheme="majorHAnsi" w:cs="Times New Roman"/>
          <w:sz w:val="22"/>
          <w:szCs w:val="22"/>
        </w:rPr>
        <w:t>r</w:t>
      </w:r>
      <w:r>
        <w:rPr>
          <w:rFonts w:asciiTheme="majorHAnsi" w:hAnsiTheme="majorHAnsi" w:cs="Times New Roman"/>
          <w:sz w:val="22"/>
          <w:szCs w:val="22"/>
        </w:rPr>
        <w:t>undschreiben</w:t>
      </w:r>
      <w:proofErr w:type="spellEnd"/>
      <w:r>
        <w:rPr>
          <w:rFonts w:asciiTheme="majorHAnsi" w:hAnsiTheme="majorHAnsi" w:cs="Times New Roman"/>
          <w:sz w:val="22"/>
          <w:szCs w:val="22"/>
        </w:rPr>
        <w:t xml:space="preserve"> auch spezifische Regelungen zur Erwerbbarkeit</w:t>
      </w:r>
      <w:r w:rsidR="00C91FBC">
        <w:rPr>
          <w:rFonts w:asciiTheme="majorHAnsi" w:hAnsiTheme="majorHAnsi" w:cs="Times New Roman"/>
          <w:sz w:val="22"/>
          <w:szCs w:val="22"/>
        </w:rPr>
        <w:t xml:space="preserve"> von Kapitalanlagen bzw. Fonds im Rahmen der geltenden </w:t>
      </w:r>
      <w:proofErr w:type="spellStart"/>
      <w:r w:rsidR="00C91FBC">
        <w:rPr>
          <w:rFonts w:asciiTheme="majorHAnsi" w:hAnsiTheme="majorHAnsi" w:cs="Times New Roman"/>
          <w:sz w:val="22"/>
          <w:szCs w:val="22"/>
        </w:rPr>
        <w:t>Mischungs</w:t>
      </w:r>
      <w:proofErr w:type="spellEnd"/>
      <w:r w:rsidR="00C91FBC">
        <w:rPr>
          <w:rFonts w:asciiTheme="majorHAnsi" w:hAnsiTheme="majorHAnsi" w:cs="Times New Roman"/>
          <w:sz w:val="22"/>
          <w:szCs w:val="22"/>
        </w:rPr>
        <w:t xml:space="preserve"> -</w:t>
      </w:r>
      <w:r w:rsidR="00F840D0">
        <w:rPr>
          <w:rFonts w:asciiTheme="majorHAnsi" w:hAnsiTheme="majorHAnsi" w:cs="Times New Roman"/>
          <w:sz w:val="22"/>
          <w:szCs w:val="22"/>
        </w:rPr>
        <w:t xml:space="preserve"> </w:t>
      </w:r>
      <w:r w:rsidR="00C91FBC">
        <w:rPr>
          <w:rFonts w:asciiTheme="majorHAnsi" w:hAnsiTheme="majorHAnsi" w:cs="Times New Roman"/>
          <w:sz w:val="22"/>
          <w:szCs w:val="22"/>
        </w:rPr>
        <w:t xml:space="preserve">und Streuungsgrenzen. </w:t>
      </w:r>
      <w:r w:rsidR="00E60C60">
        <w:rPr>
          <w:rFonts w:asciiTheme="majorHAnsi" w:hAnsiTheme="majorHAnsi" w:cs="Times New Roman"/>
          <w:sz w:val="22"/>
          <w:szCs w:val="22"/>
        </w:rPr>
        <w:t>Neu definierte Anlagegrenzen, wie z.B. die Einschränkung des sog. Holdingprivilegs (1%-Grenze)</w:t>
      </w:r>
      <w:r w:rsidR="00180934">
        <w:rPr>
          <w:rFonts w:asciiTheme="majorHAnsi" w:hAnsiTheme="majorHAnsi" w:cs="Times New Roman"/>
          <w:sz w:val="22"/>
          <w:szCs w:val="22"/>
        </w:rPr>
        <w:t>,</w:t>
      </w:r>
      <w:bookmarkStart w:id="0" w:name="_GoBack"/>
      <w:bookmarkEnd w:id="0"/>
      <w:r w:rsidR="00E60C60">
        <w:rPr>
          <w:rFonts w:asciiTheme="majorHAnsi" w:hAnsiTheme="majorHAnsi" w:cs="Times New Roman"/>
          <w:sz w:val="22"/>
          <w:szCs w:val="22"/>
        </w:rPr>
        <w:t xml:space="preserve"> erschweren für VAG-Investoren eine sinnvolle </w:t>
      </w:r>
      <w:proofErr w:type="spellStart"/>
      <w:r w:rsidR="00E60C60">
        <w:rPr>
          <w:rFonts w:asciiTheme="majorHAnsi" w:hAnsiTheme="majorHAnsi" w:cs="Times New Roman"/>
          <w:sz w:val="22"/>
          <w:szCs w:val="22"/>
        </w:rPr>
        <w:t>Assetallokation</w:t>
      </w:r>
      <w:proofErr w:type="spellEnd"/>
      <w:r w:rsidR="00E60C60">
        <w:rPr>
          <w:rFonts w:asciiTheme="majorHAnsi" w:hAnsiTheme="majorHAnsi" w:cs="Times New Roman"/>
          <w:sz w:val="22"/>
          <w:szCs w:val="22"/>
        </w:rPr>
        <w:t xml:space="preserve"> im Rahmen des aktuellen Kapitalmarktumfeldes.</w:t>
      </w:r>
      <w:r w:rsidR="00C91FBC">
        <w:rPr>
          <w:rFonts w:asciiTheme="majorHAnsi" w:hAnsiTheme="majorHAnsi" w:cs="Times New Roman"/>
          <w:sz w:val="22"/>
          <w:szCs w:val="22"/>
        </w:rPr>
        <w:t xml:space="preserve"> Demnach dürfen Beteiligungen an geschlossenen Investmentvermögen nach dem KAGB nicht mehr als 1% des Sicherungsvermögens betragen.  Warum bei institutionellen Portfoliofonds nicht mehr auf die einzelnen Assets durchgerechnet werden </w:t>
      </w:r>
      <w:r w:rsidR="00F840D0">
        <w:rPr>
          <w:rFonts w:asciiTheme="majorHAnsi" w:hAnsiTheme="majorHAnsi" w:cs="Times New Roman"/>
          <w:sz w:val="22"/>
          <w:szCs w:val="22"/>
        </w:rPr>
        <w:t xml:space="preserve">soll, ist nicht nachvollziehbar, da diese Fonds entsprechend risikodiversifiziert sind und eine Durchrechnung auf die </w:t>
      </w:r>
      <w:proofErr w:type="spellStart"/>
      <w:r w:rsidR="00F840D0">
        <w:rPr>
          <w:rFonts w:asciiTheme="majorHAnsi" w:hAnsiTheme="majorHAnsi" w:cs="Times New Roman"/>
          <w:sz w:val="22"/>
          <w:szCs w:val="22"/>
        </w:rPr>
        <w:t>Assetebene</w:t>
      </w:r>
      <w:proofErr w:type="spellEnd"/>
      <w:r w:rsidR="00F840D0">
        <w:rPr>
          <w:rFonts w:asciiTheme="majorHAnsi" w:hAnsiTheme="majorHAnsi" w:cs="Times New Roman"/>
          <w:sz w:val="22"/>
          <w:szCs w:val="22"/>
        </w:rPr>
        <w:t xml:space="preserve"> möglich sein sollte. Gerade kleinere und mittlere VAG-regulierte Investoren werden dadurch benachteiligt. </w:t>
      </w:r>
      <w:r w:rsidR="00C91FBC">
        <w:rPr>
          <w:rFonts w:asciiTheme="majorHAnsi" w:hAnsiTheme="majorHAnsi" w:cs="Times New Roman"/>
          <w:sz w:val="22"/>
          <w:szCs w:val="22"/>
        </w:rPr>
        <w:t xml:space="preserve">So sind nämlich Dachfonds von dieser Neuregelung ausgenommen, sofern Sie in geeignete Zielfonds investieren. </w:t>
      </w:r>
      <w:r w:rsidR="00F840D0">
        <w:rPr>
          <w:rFonts w:asciiTheme="majorHAnsi" w:hAnsiTheme="majorHAnsi" w:cs="Times New Roman"/>
          <w:sz w:val="22"/>
          <w:szCs w:val="22"/>
        </w:rPr>
        <w:t xml:space="preserve">Allerdings wird nicht definiert, was mit „geeigneten Zielfonds“ gemeint ist. </w:t>
      </w:r>
    </w:p>
    <w:p w14:paraId="02997F82" w14:textId="77777777" w:rsidR="00FA22A7" w:rsidRDefault="00FA22A7" w:rsidP="00F5406D">
      <w:pPr>
        <w:widowControl w:val="0"/>
        <w:rPr>
          <w:rFonts w:asciiTheme="majorHAnsi" w:hAnsiTheme="majorHAnsi" w:cs="Times New Roman"/>
          <w:sz w:val="22"/>
          <w:szCs w:val="22"/>
        </w:rPr>
      </w:pPr>
    </w:p>
    <w:p w14:paraId="55BD524D" w14:textId="6315EFF4" w:rsidR="00FA22A7" w:rsidRDefault="00FA22A7" w:rsidP="00F5406D">
      <w:pPr>
        <w:widowControl w:val="0"/>
        <w:rPr>
          <w:rFonts w:asciiTheme="majorHAnsi" w:hAnsiTheme="majorHAnsi" w:cs="Times New Roman"/>
          <w:sz w:val="22"/>
          <w:szCs w:val="22"/>
        </w:rPr>
      </w:pPr>
      <w:r>
        <w:rPr>
          <w:rFonts w:asciiTheme="majorHAnsi" w:hAnsiTheme="majorHAnsi" w:cs="Times New Roman"/>
          <w:sz w:val="22"/>
          <w:szCs w:val="22"/>
        </w:rPr>
        <w:t>Bereits im Rahmen der Konsultation zu dem neuen Rundschreiben wurde von Verbandsseite auf diese Thematik hingewiesen. Es bleibt zu hoffen, dass im Rahmen der praktischen Anwendung des Rundschreibens entsprechende Anpassungen bzw. Klarstellungen erfolgen.</w:t>
      </w:r>
    </w:p>
    <w:p w14:paraId="43D846AF" w14:textId="77777777" w:rsidR="00F5406D" w:rsidRPr="00F5406D" w:rsidRDefault="00F5406D" w:rsidP="00F5406D">
      <w:pPr>
        <w:widowControl w:val="0"/>
        <w:rPr>
          <w:rFonts w:asciiTheme="majorHAnsi" w:hAnsiTheme="majorHAnsi" w:cs="Times New Roman"/>
          <w:sz w:val="22"/>
          <w:szCs w:val="22"/>
        </w:rPr>
      </w:pPr>
    </w:p>
    <w:p w14:paraId="5B1C9232" w14:textId="48587144" w:rsidR="00F5406D" w:rsidRDefault="00FA22A7" w:rsidP="00F5406D">
      <w:pPr>
        <w:rPr>
          <w:rFonts w:asciiTheme="majorHAnsi" w:hAnsiTheme="majorHAnsi" w:cs="Times New Roman"/>
          <w:sz w:val="22"/>
          <w:szCs w:val="22"/>
        </w:rPr>
      </w:pPr>
      <w:r>
        <w:rPr>
          <w:rFonts w:asciiTheme="majorHAnsi" w:hAnsiTheme="majorHAnsi" w:cs="Times New Roman"/>
          <w:sz w:val="22"/>
          <w:szCs w:val="22"/>
        </w:rPr>
        <w:t xml:space="preserve">Neben Investments in Form geschlossener Investmentvermögen bieten jedoch auch </w:t>
      </w:r>
      <w:r w:rsidR="00F5406D" w:rsidRPr="00F5406D">
        <w:rPr>
          <w:rFonts w:asciiTheme="majorHAnsi" w:hAnsiTheme="majorHAnsi" w:cs="Times New Roman"/>
          <w:sz w:val="22"/>
          <w:szCs w:val="22"/>
        </w:rPr>
        <w:t>Finanzinstrumente, wie z.B. die Emission von Schuldverschreibungen (Inhaberschuldverschreibungen und Namensschuldverschreibungen)</w:t>
      </w:r>
      <w:r w:rsidR="00C91FBC">
        <w:rPr>
          <w:rFonts w:asciiTheme="majorHAnsi" w:hAnsiTheme="majorHAnsi" w:cs="Times New Roman"/>
          <w:sz w:val="22"/>
          <w:szCs w:val="22"/>
        </w:rPr>
        <w:t>, Schuldscheindarlehen</w:t>
      </w:r>
      <w:r w:rsidR="00F5406D" w:rsidRPr="00F5406D">
        <w:rPr>
          <w:rFonts w:asciiTheme="majorHAnsi" w:hAnsiTheme="majorHAnsi" w:cs="Times New Roman"/>
          <w:sz w:val="22"/>
          <w:szCs w:val="22"/>
        </w:rPr>
        <w:t xml:space="preserve"> oder Genussscheine </w:t>
      </w:r>
      <w:r w:rsidR="00C91FBC">
        <w:rPr>
          <w:rFonts w:asciiTheme="majorHAnsi" w:hAnsiTheme="majorHAnsi" w:cs="Times New Roman"/>
          <w:sz w:val="22"/>
          <w:szCs w:val="22"/>
        </w:rPr>
        <w:t xml:space="preserve">insbesondere für VAG-Anleger </w:t>
      </w:r>
      <w:r w:rsidR="00F5406D" w:rsidRPr="00F5406D">
        <w:rPr>
          <w:rFonts w:asciiTheme="majorHAnsi" w:hAnsiTheme="majorHAnsi" w:cs="Times New Roman"/>
          <w:sz w:val="22"/>
          <w:szCs w:val="22"/>
        </w:rPr>
        <w:t xml:space="preserve">interessante Zugangsmöglichkeiten </w:t>
      </w:r>
      <w:r w:rsidR="00C91FBC">
        <w:rPr>
          <w:rFonts w:asciiTheme="majorHAnsi" w:hAnsiTheme="majorHAnsi" w:cs="Times New Roman"/>
          <w:sz w:val="22"/>
          <w:szCs w:val="22"/>
        </w:rPr>
        <w:t>um in Infrastrukturprojekte</w:t>
      </w:r>
      <w:r w:rsidR="00E60588">
        <w:rPr>
          <w:rFonts w:asciiTheme="majorHAnsi" w:hAnsiTheme="majorHAnsi" w:cs="Times New Roman"/>
          <w:sz w:val="22"/>
          <w:szCs w:val="22"/>
        </w:rPr>
        <w:t xml:space="preserve"> und Immobilien zu investieren.</w:t>
      </w:r>
    </w:p>
    <w:p w14:paraId="72217435" w14:textId="77777777" w:rsidR="00F5406D" w:rsidRPr="00F5406D" w:rsidRDefault="00F5406D" w:rsidP="00F5406D">
      <w:pPr>
        <w:rPr>
          <w:rFonts w:asciiTheme="majorHAnsi" w:hAnsiTheme="majorHAnsi" w:cs="Times New Roman"/>
          <w:sz w:val="22"/>
          <w:szCs w:val="22"/>
        </w:rPr>
      </w:pPr>
    </w:p>
    <w:p w14:paraId="0874129D" w14:textId="5E5BC778" w:rsidR="00F5406D" w:rsidRDefault="00F5406D" w:rsidP="00F5406D">
      <w:pPr>
        <w:rPr>
          <w:rFonts w:asciiTheme="majorHAnsi" w:hAnsiTheme="majorHAnsi" w:cs="Times New Roman"/>
          <w:sz w:val="22"/>
          <w:szCs w:val="22"/>
        </w:rPr>
      </w:pPr>
      <w:r w:rsidRPr="00F5406D">
        <w:rPr>
          <w:rFonts w:asciiTheme="majorHAnsi" w:hAnsiTheme="majorHAnsi" w:cs="Times New Roman"/>
          <w:sz w:val="22"/>
          <w:szCs w:val="22"/>
        </w:rPr>
        <w:t xml:space="preserve">Dabei sind viele Details zu beachten. So ist oftmals ein Kredit - und/oder Fondsrating einer von der ESMA anerkannten Ratingagentur notwendig. Die Gestaltung des sogenannten „ </w:t>
      </w:r>
      <w:proofErr w:type="spellStart"/>
      <w:r w:rsidRPr="00F5406D">
        <w:rPr>
          <w:rFonts w:asciiTheme="majorHAnsi" w:hAnsiTheme="majorHAnsi" w:cs="Times New Roman"/>
          <w:sz w:val="22"/>
          <w:szCs w:val="22"/>
        </w:rPr>
        <w:t>Waterfalls</w:t>
      </w:r>
      <w:proofErr w:type="spellEnd"/>
      <w:r w:rsidRPr="00F5406D">
        <w:rPr>
          <w:rFonts w:asciiTheme="majorHAnsi" w:hAnsiTheme="majorHAnsi" w:cs="Times New Roman"/>
          <w:sz w:val="22"/>
          <w:szCs w:val="22"/>
        </w:rPr>
        <w:t xml:space="preserve">“, also die ranggerechte Verteilung der verschiedenen Cash Flow-Bestandteile muss </w:t>
      </w:r>
      <w:r w:rsidR="00E60588">
        <w:rPr>
          <w:rFonts w:asciiTheme="majorHAnsi" w:hAnsiTheme="majorHAnsi" w:cs="Times New Roman"/>
          <w:sz w:val="22"/>
          <w:szCs w:val="22"/>
        </w:rPr>
        <w:t xml:space="preserve">dabei </w:t>
      </w:r>
      <w:r w:rsidRPr="00F5406D">
        <w:rPr>
          <w:rFonts w:asciiTheme="majorHAnsi" w:hAnsiTheme="majorHAnsi" w:cs="Times New Roman"/>
          <w:sz w:val="22"/>
          <w:szCs w:val="22"/>
        </w:rPr>
        <w:t>den Anforderungen der Ratingagentur genügen.</w:t>
      </w:r>
    </w:p>
    <w:p w14:paraId="67FAC02A" w14:textId="77777777" w:rsidR="00F5406D" w:rsidRPr="00F5406D" w:rsidRDefault="00F5406D" w:rsidP="00F5406D">
      <w:pPr>
        <w:rPr>
          <w:rFonts w:asciiTheme="majorHAnsi" w:hAnsiTheme="majorHAnsi" w:cs="Times New Roman"/>
          <w:sz w:val="22"/>
          <w:szCs w:val="22"/>
        </w:rPr>
      </w:pPr>
    </w:p>
    <w:p w14:paraId="19AAEEC4" w14:textId="77777777" w:rsidR="00F5406D" w:rsidRDefault="00F5406D" w:rsidP="00F5406D">
      <w:pPr>
        <w:rPr>
          <w:rFonts w:asciiTheme="majorHAnsi" w:hAnsiTheme="majorHAnsi" w:cs="Times New Roman"/>
          <w:sz w:val="22"/>
          <w:szCs w:val="22"/>
        </w:rPr>
      </w:pPr>
      <w:r w:rsidRPr="00F5406D">
        <w:rPr>
          <w:rFonts w:asciiTheme="majorHAnsi" w:hAnsiTheme="majorHAnsi" w:cs="Times New Roman"/>
          <w:sz w:val="22"/>
          <w:szCs w:val="22"/>
        </w:rPr>
        <w:t xml:space="preserve">Bei Immobilien eröffnen Investments mit langfristigen </w:t>
      </w:r>
      <w:proofErr w:type="spellStart"/>
      <w:r w:rsidRPr="00F5406D">
        <w:rPr>
          <w:rFonts w:asciiTheme="majorHAnsi" w:hAnsiTheme="majorHAnsi" w:cs="Times New Roman"/>
          <w:sz w:val="22"/>
          <w:szCs w:val="22"/>
        </w:rPr>
        <w:t>triple</w:t>
      </w:r>
      <w:proofErr w:type="spellEnd"/>
      <w:r w:rsidRPr="00F5406D">
        <w:rPr>
          <w:rFonts w:asciiTheme="majorHAnsi" w:hAnsiTheme="majorHAnsi" w:cs="Times New Roman"/>
          <w:sz w:val="22"/>
          <w:szCs w:val="22"/>
        </w:rPr>
        <w:t>-</w:t>
      </w:r>
      <w:proofErr w:type="spellStart"/>
      <w:r w:rsidRPr="00F5406D">
        <w:rPr>
          <w:rFonts w:asciiTheme="majorHAnsi" w:hAnsiTheme="majorHAnsi" w:cs="Times New Roman"/>
          <w:sz w:val="22"/>
          <w:szCs w:val="22"/>
        </w:rPr>
        <w:t>net</w:t>
      </w:r>
      <w:proofErr w:type="spellEnd"/>
      <w:r w:rsidRPr="00F5406D">
        <w:rPr>
          <w:rFonts w:asciiTheme="majorHAnsi" w:hAnsiTheme="majorHAnsi" w:cs="Times New Roman"/>
          <w:sz w:val="22"/>
          <w:szCs w:val="22"/>
        </w:rPr>
        <w:t>-Mietverträgen eine gute Möglichkeit die vorgenannten Anforderungen zu erfüllen. </w:t>
      </w:r>
    </w:p>
    <w:p w14:paraId="4D969112" w14:textId="77777777" w:rsidR="00F5406D" w:rsidRPr="00F5406D" w:rsidRDefault="00F5406D" w:rsidP="00F5406D">
      <w:pPr>
        <w:rPr>
          <w:rFonts w:asciiTheme="majorHAnsi" w:hAnsiTheme="majorHAnsi" w:cs="Times New Roman"/>
          <w:sz w:val="22"/>
          <w:szCs w:val="22"/>
        </w:rPr>
      </w:pPr>
    </w:p>
    <w:p w14:paraId="24483E66" w14:textId="0AA3A499" w:rsidR="00F5406D" w:rsidRDefault="00F5406D" w:rsidP="00F5406D">
      <w:pPr>
        <w:rPr>
          <w:rFonts w:asciiTheme="majorHAnsi" w:hAnsiTheme="majorHAnsi" w:cs="Times New Roman"/>
          <w:sz w:val="22"/>
          <w:szCs w:val="22"/>
        </w:rPr>
      </w:pPr>
      <w:r w:rsidRPr="00F5406D">
        <w:rPr>
          <w:rFonts w:asciiTheme="majorHAnsi" w:hAnsiTheme="majorHAnsi" w:cs="Times New Roman"/>
          <w:sz w:val="22"/>
          <w:szCs w:val="22"/>
        </w:rPr>
        <w:t>Institutionelle Investoren können sich beispielsweise über eine Namensschuldverschreibung an solchen Investments beteiligen. Gute Lagen und die Werthaltigkeit der Objekte führen auch für einen nachrangigen Kapitalgeber zu einem interessanten Chance-/Risiko-Profil. Die Schuldverschreibung ist mit einer über dem Rechnungszins liegenden Verzinsung und mit einem attraktiven Ausschüttungsprofil – einschließlich Tilgung – ausgestaltet. Nachrangige Grundschulden dienen als zusätzliche Sicherheiten. Daneben werden die Interessen des Inhabers der Schuldverschreibung über eine umfassende Gläubigervereinbarung mit dem Seniordarlehensgeber gewahrt. </w:t>
      </w:r>
    </w:p>
    <w:p w14:paraId="028EA740" w14:textId="77777777" w:rsidR="00F5406D" w:rsidRPr="00F5406D" w:rsidRDefault="00F5406D" w:rsidP="00F5406D">
      <w:pPr>
        <w:rPr>
          <w:rFonts w:asciiTheme="majorHAnsi" w:hAnsiTheme="majorHAnsi" w:cs="Times New Roman"/>
          <w:sz w:val="22"/>
          <w:szCs w:val="22"/>
        </w:rPr>
      </w:pPr>
    </w:p>
    <w:p w14:paraId="35B2EDB6" w14:textId="03FE0617" w:rsidR="00F5406D" w:rsidRDefault="00F5406D" w:rsidP="00F5406D">
      <w:pPr>
        <w:rPr>
          <w:rFonts w:asciiTheme="majorHAnsi" w:hAnsiTheme="majorHAnsi" w:cs="Times New Roman"/>
          <w:sz w:val="22"/>
          <w:szCs w:val="22"/>
        </w:rPr>
      </w:pPr>
      <w:r w:rsidRPr="00F5406D">
        <w:rPr>
          <w:rFonts w:asciiTheme="majorHAnsi" w:hAnsiTheme="majorHAnsi" w:cs="Times New Roman"/>
          <w:sz w:val="22"/>
          <w:szCs w:val="22"/>
        </w:rPr>
        <w:t>Die aufsichtsrechtliche Zuordnung zu</w:t>
      </w:r>
      <w:r w:rsidR="00122C76">
        <w:rPr>
          <w:rFonts w:asciiTheme="majorHAnsi" w:hAnsiTheme="majorHAnsi" w:cs="Times New Roman"/>
          <w:sz w:val="22"/>
          <w:szCs w:val="22"/>
        </w:rPr>
        <w:t xml:space="preserve"> § 2 Abs. 1 Nr.</w:t>
      </w:r>
      <w:r w:rsidRPr="00F5406D">
        <w:rPr>
          <w:rFonts w:asciiTheme="majorHAnsi" w:hAnsiTheme="majorHAnsi" w:cs="Times New Roman"/>
          <w:sz w:val="22"/>
          <w:szCs w:val="22"/>
        </w:rPr>
        <w:t xml:space="preserve"> 8 der für VAG-Anleger geltenden Anlageverordnung und ein Investmentgrade-Rating der emittierten Schuldverschreibung machen diese Art des Investments für viele institutionelle Kapitalgeber interessant. Besonders für Versicherungen bieten sich durch die Zuordnung zum </w:t>
      </w:r>
      <w:proofErr w:type="spellStart"/>
      <w:r w:rsidRPr="00F5406D">
        <w:rPr>
          <w:rFonts w:asciiTheme="majorHAnsi" w:hAnsiTheme="majorHAnsi" w:cs="Times New Roman"/>
          <w:sz w:val="22"/>
          <w:szCs w:val="22"/>
        </w:rPr>
        <w:t>Spread</w:t>
      </w:r>
      <w:proofErr w:type="spellEnd"/>
      <w:r w:rsidRPr="00F5406D">
        <w:rPr>
          <w:rFonts w:asciiTheme="majorHAnsi" w:hAnsiTheme="majorHAnsi" w:cs="Times New Roman"/>
          <w:sz w:val="22"/>
          <w:szCs w:val="22"/>
        </w:rPr>
        <w:t xml:space="preserve"> </w:t>
      </w:r>
      <w:proofErr w:type="spellStart"/>
      <w:r w:rsidRPr="00F5406D">
        <w:rPr>
          <w:rFonts w:asciiTheme="majorHAnsi" w:hAnsiTheme="majorHAnsi" w:cs="Times New Roman"/>
          <w:sz w:val="22"/>
          <w:szCs w:val="22"/>
        </w:rPr>
        <w:t>Risk</w:t>
      </w:r>
      <w:proofErr w:type="spellEnd"/>
      <w:r w:rsidRPr="00F5406D">
        <w:rPr>
          <w:rFonts w:asciiTheme="majorHAnsi" w:hAnsiTheme="majorHAnsi" w:cs="Times New Roman"/>
          <w:sz w:val="22"/>
          <w:szCs w:val="22"/>
        </w:rPr>
        <w:t xml:space="preserve"> Sub-Modul (Untermodul Zinsrisiko) aufgrund der geringen </w:t>
      </w:r>
      <w:proofErr w:type="spellStart"/>
      <w:r w:rsidRPr="00F5406D">
        <w:rPr>
          <w:rFonts w:asciiTheme="majorHAnsi" w:hAnsiTheme="majorHAnsi" w:cs="Times New Roman"/>
          <w:sz w:val="22"/>
          <w:szCs w:val="22"/>
        </w:rPr>
        <w:t>Solvenzkapitalunterlegung</w:t>
      </w:r>
      <w:proofErr w:type="spellEnd"/>
      <w:r w:rsidRPr="00F5406D">
        <w:rPr>
          <w:rFonts w:asciiTheme="majorHAnsi" w:hAnsiTheme="majorHAnsi" w:cs="Times New Roman"/>
          <w:sz w:val="22"/>
          <w:szCs w:val="22"/>
        </w:rPr>
        <w:t xml:space="preserve"> der Schuldverschreibung viele Vorteile.</w:t>
      </w:r>
    </w:p>
    <w:p w14:paraId="2C562015" w14:textId="77777777" w:rsidR="00F5406D" w:rsidRPr="00F5406D" w:rsidRDefault="00F5406D" w:rsidP="00F5406D">
      <w:pPr>
        <w:rPr>
          <w:rFonts w:asciiTheme="majorHAnsi" w:hAnsiTheme="majorHAnsi" w:cs="Times New Roman"/>
          <w:sz w:val="22"/>
          <w:szCs w:val="22"/>
        </w:rPr>
      </w:pPr>
    </w:p>
    <w:p w14:paraId="3E06C8DB" w14:textId="433C4AC4" w:rsidR="006A3854" w:rsidRDefault="00F5406D" w:rsidP="00F5406D">
      <w:pPr>
        <w:rPr>
          <w:rFonts w:asciiTheme="majorHAnsi" w:hAnsiTheme="majorHAnsi" w:cs="Times New Roman"/>
          <w:sz w:val="22"/>
          <w:szCs w:val="22"/>
        </w:rPr>
      </w:pPr>
      <w:r w:rsidRPr="00F5406D">
        <w:rPr>
          <w:rFonts w:asciiTheme="majorHAnsi" w:hAnsiTheme="majorHAnsi" w:cs="Times New Roman"/>
          <w:sz w:val="22"/>
          <w:szCs w:val="22"/>
        </w:rPr>
        <w:t xml:space="preserve">Anwendbar sind solche Strukturen für Immobilien, aber auch für andere </w:t>
      </w:r>
      <w:proofErr w:type="spellStart"/>
      <w:r w:rsidRPr="00F5406D">
        <w:rPr>
          <w:rFonts w:asciiTheme="majorHAnsi" w:hAnsiTheme="majorHAnsi" w:cs="Times New Roman"/>
          <w:sz w:val="22"/>
          <w:szCs w:val="22"/>
        </w:rPr>
        <w:t>Assetklassen</w:t>
      </w:r>
      <w:proofErr w:type="spellEnd"/>
      <w:r w:rsidRPr="00F5406D">
        <w:rPr>
          <w:rFonts w:asciiTheme="majorHAnsi" w:hAnsiTheme="majorHAnsi" w:cs="Times New Roman"/>
          <w:sz w:val="22"/>
          <w:szCs w:val="22"/>
        </w:rPr>
        <w:t>. So lässt sich auch bei Wind- und Solarpark-Portfolien sowie bei Flugzeugtransaktionen ein interessanter Cashflow-Verlauf darstellen.  Dieser führt bei den Kapitalgebern zur gewünschten Zuordnung in der Anlageverordnung  oder zu einer geringe</w:t>
      </w:r>
      <w:r w:rsidR="00E60588">
        <w:rPr>
          <w:rFonts w:asciiTheme="majorHAnsi" w:hAnsiTheme="majorHAnsi" w:cs="Times New Roman"/>
          <w:sz w:val="22"/>
          <w:szCs w:val="22"/>
        </w:rPr>
        <w:t>ren</w:t>
      </w:r>
      <w:r w:rsidRPr="00F5406D">
        <w:rPr>
          <w:rFonts w:asciiTheme="majorHAnsi" w:hAnsiTheme="majorHAnsi" w:cs="Times New Roman"/>
          <w:sz w:val="22"/>
          <w:szCs w:val="22"/>
        </w:rPr>
        <w:t xml:space="preserve"> SCR-Belastung.</w:t>
      </w:r>
    </w:p>
    <w:p w14:paraId="30AB4F3C" w14:textId="77777777" w:rsidR="006A3854" w:rsidRDefault="006A3854" w:rsidP="00F5406D">
      <w:pPr>
        <w:rPr>
          <w:rFonts w:asciiTheme="majorHAnsi" w:hAnsiTheme="majorHAnsi" w:cs="Times New Roman"/>
          <w:sz w:val="22"/>
          <w:szCs w:val="22"/>
        </w:rPr>
      </w:pPr>
    </w:p>
    <w:p w14:paraId="4EAD5996" w14:textId="776D5961" w:rsidR="006A3854" w:rsidRDefault="006A3854" w:rsidP="00F5406D">
      <w:pPr>
        <w:rPr>
          <w:rFonts w:asciiTheme="majorHAnsi" w:hAnsiTheme="majorHAnsi" w:cs="Times New Roman"/>
          <w:sz w:val="22"/>
          <w:szCs w:val="22"/>
        </w:rPr>
      </w:pPr>
      <w:r>
        <w:rPr>
          <w:rFonts w:asciiTheme="majorHAnsi" w:hAnsiTheme="majorHAnsi" w:cs="Times New Roman"/>
          <w:sz w:val="22"/>
          <w:szCs w:val="22"/>
        </w:rPr>
        <w:t xml:space="preserve">Eine Alternative dazu sind </w:t>
      </w:r>
      <w:r w:rsidR="00122C76">
        <w:rPr>
          <w:rFonts w:asciiTheme="majorHAnsi" w:hAnsiTheme="majorHAnsi" w:cs="Times New Roman"/>
          <w:sz w:val="22"/>
          <w:szCs w:val="22"/>
        </w:rPr>
        <w:t>Schuldscheindarlehen nach § 2 Abs.1 Nr. 4c</w:t>
      </w:r>
      <w:r>
        <w:rPr>
          <w:rFonts w:asciiTheme="majorHAnsi" w:hAnsiTheme="majorHAnsi" w:cs="Times New Roman"/>
          <w:sz w:val="22"/>
          <w:szCs w:val="22"/>
        </w:rPr>
        <w:t xml:space="preserve"> der Anlageverordnung. Hier liegt die </w:t>
      </w:r>
      <w:r w:rsidR="00122C76">
        <w:rPr>
          <w:rFonts w:asciiTheme="majorHAnsi" w:hAnsiTheme="majorHAnsi" w:cs="Times New Roman"/>
          <w:sz w:val="22"/>
          <w:szCs w:val="22"/>
        </w:rPr>
        <w:t>Obergrenze analog zu den S</w:t>
      </w:r>
      <w:r>
        <w:rPr>
          <w:rFonts w:asciiTheme="majorHAnsi" w:hAnsiTheme="majorHAnsi" w:cs="Times New Roman"/>
          <w:sz w:val="22"/>
          <w:szCs w:val="22"/>
        </w:rPr>
        <w:t xml:space="preserve">chuldverschreibungen bei 5 % des gebundenen Vermögens. </w:t>
      </w:r>
    </w:p>
    <w:p w14:paraId="601F720E" w14:textId="77777777" w:rsidR="006A3854" w:rsidRDefault="006A3854" w:rsidP="00F5406D">
      <w:pPr>
        <w:rPr>
          <w:rFonts w:asciiTheme="majorHAnsi" w:hAnsiTheme="majorHAnsi" w:cs="Times New Roman"/>
          <w:sz w:val="22"/>
          <w:szCs w:val="22"/>
        </w:rPr>
      </w:pPr>
    </w:p>
    <w:p w14:paraId="7F19A29D" w14:textId="3FB99358" w:rsidR="00F5406D" w:rsidRPr="00F5406D" w:rsidRDefault="006A3854" w:rsidP="00F5406D">
      <w:pPr>
        <w:rPr>
          <w:rFonts w:asciiTheme="majorHAnsi" w:hAnsiTheme="majorHAnsi" w:cs="Times New Roman"/>
          <w:sz w:val="22"/>
          <w:szCs w:val="22"/>
        </w:rPr>
      </w:pPr>
      <w:r>
        <w:rPr>
          <w:rFonts w:asciiTheme="majorHAnsi" w:hAnsiTheme="majorHAnsi" w:cs="Times New Roman"/>
          <w:sz w:val="22"/>
          <w:szCs w:val="22"/>
        </w:rPr>
        <w:t>H</w:t>
      </w:r>
      <w:r w:rsidR="00F5406D" w:rsidRPr="00F5406D">
        <w:rPr>
          <w:rFonts w:asciiTheme="majorHAnsi" w:hAnsiTheme="majorHAnsi" w:cs="Times New Roman"/>
          <w:sz w:val="22"/>
          <w:szCs w:val="22"/>
        </w:rPr>
        <w:t xml:space="preserve">äufig ist es bei dieser Art von Transaktionen erforderlich, dass der Initiator bzw. </w:t>
      </w:r>
      <w:proofErr w:type="spellStart"/>
      <w:r w:rsidR="00F5406D" w:rsidRPr="00F5406D">
        <w:rPr>
          <w:rFonts w:asciiTheme="majorHAnsi" w:hAnsiTheme="majorHAnsi" w:cs="Times New Roman"/>
          <w:sz w:val="22"/>
          <w:szCs w:val="22"/>
        </w:rPr>
        <w:t>Assetmanager</w:t>
      </w:r>
      <w:proofErr w:type="spellEnd"/>
      <w:r w:rsidR="00F5406D" w:rsidRPr="00F5406D">
        <w:rPr>
          <w:rFonts w:asciiTheme="majorHAnsi" w:hAnsiTheme="majorHAnsi" w:cs="Times New Roman"/>
          <w:sz w:val="22"/>
          <w:szCs w:val="22"/>
        </w:rPr>
        <w:t xml:space="preserve"> ebenso Kapital einsetzen muss. Die entsprechende Erfahrung bei der Implementierung solcher kapitalmarktnaher Strukturen und ein erstklassiges Management während der Laufzeit sind ohnehin unabdingbar.</w:t>
      </w:r>
    </w:p>
    <w:p w14:paraId="15804AD6" w14:textId="77777777" w:rsidR="00190C97" w:rsidRDefault="00190C97" w:rsidP="00F5406D">
      <w:pPr>
        <w:rPr>
          <w:rFonts w:asciiTheme="majorHAnsi" w:hAnsiTheme="majorHAnsi"/>
          <w:sz w:val="22"/>
          <w:szCs w:val="22"/>
        </w:rPr>
      </w:pPr>
    </w:p>
    <w:p w14:paraId="75C3B97F" w14:textId="77777777" w:rsidR="002C02B8" w:rsidRPr="002C02B8" w:rsidRDefault="002C02B8" w:rsidP="00F5406D">
      <w:pPr>
        <w:rPr>
          <w:rFonts w:asciiTheme="majorHAnsi" w:hAnsiTheme="majorHAnsi" w:cs="Times New Roman"/>
          <w:sz w:val="22"/>
          <w:szCs w:val="22"/>
        </w:rPr>
      </w:pPr>
    </w:p>
    <w:p w14:paraId="70B04175" w14:textId="77777777" w:rsidR="002C02B8" w:rsidRDefault="002C02B8" w:rsidP="00F5406D">
      <w:pPr>
        <w:rPr>
          <w:rFonts w:asciiTheme="majorHAnsi" w:hAnsiTheme="majorHAnsi"/>
          <w:sz w:val="22"/>
          <w:szCs w:val="22"/>
        </w:rPr>
      </w:pPr>
      <w:r>
        <w:rPr>
          <w:rFonts w:asciiTheme="majorHAnsi" w:hAnsiTheme="majorHAnsi"/>
          <w:sz w:val="22"/>
          <w:szCs w:val="22"/>
        </w:rPr>
        <w:t>Dieter Seitz</w:t>
      </w:r>
    </w:p>
    <w:p w14:paraId="34CC1D51" w14:textId="77777777" w:rsidR="002C02B8" w:rsidRDefault="002C02B8" w:rsidP="00F5406D">
      <w:pPr>
        <w:rPr>
          <w:rFonts w:asciiTheme="majorHAnsi" w:hAnsiTheme="majorHAnsi" w:cs="Times New Roman"/>
          <w:sz w:val="22"/>
          <w:szCs w:val="22"/>
        </w:rPr>
      </w:pPr>
      <w:r w:rsidRPr="002C02B8">
        <w:rPr>
          <w:rFonts w:asciiTheme="majorHAnsi" w:hAnsiTheme="majorHAnsi" w:cs="Times New Roman"/>
          <w:sz w:val="22"/>
          <w:szCs w:val="22"/>
        </w:rPr>
        <w:t xml:space="preserve">Geschäftsführer </w:t>
      </w:r>
    </w:p>
    <w:p w14:paraId="158D70FD" w14:textId="77777777" w:rsidR="002C02B8" w:rsidRPr="002C02B8" w:rsidRDefault="002C02B8" w:rsidP="00F5406D">
      <w:pPr>
        <w:rPr>
          <w:rFonts w:asciiTheme="majorHAnsi" w:hAnsiTheme="majorHAnsi" w:cs="Times New Roman"/>
          <w:sz w:val="22"/>
          <w:szCs w:val="22"/>
        </w:rPr>
      </w:pPr>
      <w:r w:rsidRPr="002C02B8">
        <w:rPr>
          <w:rFonts w:asciiTheme="majorHAnsi" w:hAnsiTheme="majorHAnsi" w:cs="Times New Roman"/>
          <w:sz w:val="22"/>
          <w:szCs w:val="22"/>
        </w:rPr>
        <w:t xml:space="preserve">LHI Capital Management GmbH </w:t>
      </w:r>
    </w:p>
    <w:sectPr w:rsidR="002C02B8" w:rsidRPr="002C02B8" w:rsidSect="00190C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6D"/>
    <w:rsid w:val="00122C76"/>
    <w:rsid w:val="00177A1C"/>
    <w:rsid w:val="00180934"/>
    <w:rsid w:val="00190C97"/>
    <w:rsid w:val="002C02B8"/>
    <w:rsid w:val="00415D13"/>
    <w:rsid w:val="0045549A"/>
    <w:rsid w:val="0054148F"/>
    <w:rsid w:val="006674AD"/>
    <w:rsid w:val="006A3854"/>
    <w:rsid w:val="00C91FBC"/>
    <w:rsid w:val="00D30D29"/>
    <w:rsid w:val="00E60588"/>
    <w:rsid w:val="00E60C60"/>
    <w:rsid w:val="00ED212F"/>
    <w:rsid w:val="00F5406D"/>
    <w:rsid w:val="00F840D0"/>
    <w:rsid w:val="00FA22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1B3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F5406D"/>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5406D"/>
    <w:rPr>
      <w:rFonts w:ascii="Times" w:hAnsi="Times"/>
      <w:b/>
      <w:bCs/>
      <w:sz w:val="36"/>
      <w:szCs w:val="36"/>
    </w:rPr>
  </w:style>
  <w:style w:type="paragraph" w:styleId="StandardWeb">
    <w:name w:val="Normal (Web)"/>
    <w:basedOn w:val="Standard"/>
    <w:uiPriority w:val="99"/>
    <w:semiHidden/>
    <w:unhideWhenUsed/>
    <w:rsid w:val="00F5406D"/>
    <w:pPr>
      <w:spacing w:before="100" w:beforeAutospacing="1" w:after="100" w:afterAutospacing="1"/>
    </w:pPr>
    <w:rPr>
      <w:rFonts w:ascii="Times" w:hAnsi="Times" w:cs="Times New Roman"/>
      <w:sz w:val="20"/>
      <w:szCs w:val="20"/>
    </w:rPr>
  </w:style>
  <w:style w:type="character" w:customStyle="1" w:styleId="bold">
    <w:name w:val="bold"/>
    <w:basedOn w:val="Absatz-Standardschriftart"/>
    <w:rsid w:val="002C0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F5406D"/>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5406D"/>
    <w:rPr>
      <w:rFonts w:ascii="Times" w:hAnsi="Times"/>
      <w:b/>
      <w:bCs/>
      <w:sz w:val="36"/>
      <w:szCs w:val="36"/>
    </w:rPr>
  </w:style>
  <w:style w:type="paragraph" w:styleId="StandardWeb">
    <w:name w:val="Normal (Web)"/>
    <w:basedOn w:val="Standard"/>
    <w:uiPriority w:val="99"/>
    <w:semiHidden/>
    <w:unhideWhenUsed/>
    <w:rsid w:val="00F5406D"/>
    <w:pPr>
      <w:spacing w:before="100" w:beforeAutospacing="1" w:after="100" w:afterAutospacing="1"/>
    </w:pPr>
    <w:rPr>
      <w:rFonts w:ascii="Times" w:hAnsi="Times" w:cs="Times New Roman"/>
      <w:sz w:val="20"/>
      <w:szCs w:val="20"/>
    </w:rPr>
  </w:style>
  <w:style w:type="character" w:customStyle="1" w:styleId="bold">
    <w:name w:val="bold"/>
    <w:basedOn w:val="Absatz-Standardschriftart"/>
    <w:rsid w:val="002C0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113042">
      <w:bodyDiv w:val="1"/>
      <w:marLeft w:val="0"/>
      <w:marRight w:val="0"/>
      <w:marTop w:val="0"/>
      <w:marBottom w:val="0"/>
      <w:divBdr>
        <w:top w:val="none" w:sz="0" w:space="0" w:color="auto"/>
        <w:left w:val="none" w:sz="0" w:space="0" w:color="auto"/>
        <w:bottom w:val="none" w:sz="0" w:space="0" w:color="auto"/>
        <w:right w:val="none" w:sz="0" w:space="0" w:color="auto"/>
      </w:divBdr>
      <w:divsChild>
        <w:div w:id="429618343">
          <w:marLeft w:val="0"/>
          <w:marRight w:val="0"/>
          <w:marTop w:val="0"/>
          <w:marBottom w:val="0"/>
          <w:divBdr>
            <w:top w:val="none" w:sz="0" w:space="0" w:color="auto"/>
            <w:left w:val="none" w:sz="0" w:space="0" w:color="auto"/>
            <w:bottom w:val="none" w:sz="0" w:space="0" w:color="auto"/>
            <w:right w:val="none" w:sz="0" w:space="0" w:color="auto"/>
          </w:divBdr>
        </w:div>
        <w:div w:id="2008627517">
          <w:marLeft w:val="0"/>
          <w:marRight w:val="0"/>
          <w:marTop w:val="0"/>
          <w:marBottom w:val="0"/>
          <w:divBdr>
            <w:top w:val="none" w:sz="0" w:space="0" w:color="auto"/>
            <w:left w:val="none" w:sz="0" w:space="0" w:color="auto"/>
            <w:bottom w:val="none" w:sz="0" w:space="0" w:color="auto"/>
            <w:right w:val="none" w:sz="0" w:space="0" w:color="auto"/>
          </w:divBdr>
          <w:divsChild>
            <w:div w:id="1179196571">
              <w:marLeft w:val="0"/>
              <w:marRight w:val="0"/>
              <w:marTop w:val="0"/>
              <w:marBottom w:val="0"/>
              <w:divBdr>
                <w:top w:val="none" w:sz="0" w:space="0" w:color="auto"/>
                <w:left w:val="none" w:sz="0" w:space="0" w:color="auto"/>
                <w:bottom w:val="none" w:sz="0" w:space="0" w:color="auto"/>
                <w:right w:val="none" w:sz="0" w:space="0" w:color="auto"/>
              </w:divBdr>
              <w:divsChild>
                <w:div w:id="1003823311">
                  <w:marLeft w:val="0"/>
                  <w:marRight w:val="0"/>
                  <w:marTop w:val="0"/>
                  <w:marBottom w:val="0"/>
                  <w:divBdr>
                    <w:top w:val="none" w:sz="0" w:space="0" w:color="auto"/>
                    <w:left w:val="none" w:sz="0" w:space="0" w:color="auto"/>
                    <w:bottom w:val="none" w:sz="0" w:space="0" w:color="auto"/>
                    <w:right w:val="none" w:sz="0" w:space="0" w:color="auto"/>
                  </w:divBdr>
                  <w:divsChild>
                    <w:div w:id="888804476">
                      <w:marLeft w:val="0"/>
                      <w:marRight w:val="0"/>
                      <w:marTop w:val="0"/>
                      <w:marBottom w:val="0"/>
                      <w:divBdr>
                        <w:top w:val="none" w:sz="0" w:space="0" w:color="auto"/>
                        <w:left w:val="none" w:sz="0" w:space="0" w:color="auto"/>
                        <w:bottom w:val="none" w:sz="0" w:space="0" w:color="auto"/>
                        <w:right w:val="none" w:sz="0" w:space="0" w:color="auto"/>
                      </w:divBdr>
                      <w:divsChild>
                        <w:div w:id="135031443">
                          <w:marLeft w:val="0"/>
                          <w:marRight w:val="0"/>
                          <w:marTop w:val="0"/>
                          <w:marBottom w:val="0"/>
                          <w:divBdr>
                            <w:top w:val="none" w:sz="0" w:space="0" w:color="auto"/>
                            <w:left w:val="none" w:sz="0" w:space="0" w:color="auto"/>
                            <w:bottom w:val="none" w:sz="0" w:space="0" w:color="auto"/>
                            <w:right w:val="none" w:sz="0" w:space="0" w:color="auto"/>
                          </w:divBdr>
                          <w:divsChild>
                            <w:div w:id="14776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4504</Characters>
  <Application>Microsoft Office Word</Application>
  <DocSecurity>0</DocSecurity>
  <Lines>75</Lines>
  <Paragraphs>15</Paragraphs>
  <ScaleCrop>false</ScaleCrop>
  <HeadingPairs>
    <vt:vector size="2" baseType="variant">
      <vt:variant>
        <vt:lpstr>Titel</vt:lpstr>
      </vt:variant>
      <vt:variant>
        <vt:i4>1</vt:i4>
      </vt:variant>
    </vt:vector>
  </HeadingPairs>
  <TitlesOfParts>
    <vt:vector size="1" baseType="lpstr">
      <vt:lpstr/>
    </vt:vector>
  </TitlesOfParts>
  <Company>DAFKO Deutsche Agentur für Kommunikation GmbH</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Schubert</dc:creator>
  <cp:lastModifiedBy>Mitteroeder, Claudia</cp:lastModifiedBy>
  <cp:revision>4</cp:revision>
  <dcterms:created xsi:type="dcterms:W3CDTF">2018-07-17T09:25:00Z</dcterms:created>
  <dcterms:modified xsi:type="dcterms:W3CDTF">2018-07-23T11:46:00Z</dcterms:modified>
</cp:coreProperties>
</file>